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52"/>
        </w:rPr>
      </w:pPr>
    </w:p>
    <w:p>
      <w:pPr>
        <w:spacing w:before="120" w:line="360" w:lineRule="auto"/>
        <w:jc w:val="center"/>
        <w:rPr>
          <w:rFonts w:hint="default" w:ascii="Times New Roman" w:hAnsi="Times New Roman" w:eastAsia="黑体" w:cs="Times New Roman"/>
          <w:b/>
          <w:w w:val="90"/>
          <w:sz w:val="44"/>
          <w:szCs w:val="44"/>
          <w:lang w:eastAsia="zh-CN"/>
        </w:rPr>
      </w:pPr>
      <w:r>
        <w:rPr>
          <w:rFonts w:hint="eastAsia" w:ascii="Times New Roman" w:hAnsi="Times New Roman" w:eastAsia="黑体" w:cs="Times New Roman"/>
          <w:b/>
          <w:w w:val="90"/>
          <w:sz w:val="44"/>
          <w:szCs w:val="44"/>
          <w:lang w:eastAsia="zh-CN"/>
        </w:rPr>
        <w:t>江苏新宏大集团有限公司</w:t>
      </w:r>
    </w:p>
    <w:p>
      <w:pPr>
        <w:spacing w:before="120" w:line="360" w:lineRule="auto"/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eastAsia" w:ascii="Times New Roman" w:hAnsi="Times New Roman" w:eastAsia="黑体" w:cs="Times New Roman"/>
          <w:b/>
          <w:sz w:val="44"/>
          <w:szCs w:val="44"/>
          <w:lang w:eastAsia="zh-CN"/>
        </w:rPr>
        <w:t>2022</w:t>
      </w:r>
      <w:r>
        <w:rPr>
          <w:rFonts w:hint="default" w:ascii="Times New Roman" w:hAnsi="Times New Roman" w:eastAsia="黑体" w:cs="Times New Roman"/>
          <w:b/>
          <w:sz w:val="44"/>
          <w:szCs w:val="44"/>
          <w:lang w:eastAsia="zh-CN"/>
        </w:rPr>
        <w:t>年</w:t>
      </w:r>
      <w:r>
        <w:rPr>
          <w:rFonts w:hint="default" w:ascii="Times New Roman" w:hAnsi="Times New Roman" w:eastAsia="黑体" w:cs="Times New Roman"/>
          <w:b/>
          <w:sz w:val="44"/>
          <w:szCs w:val="44"/>
        </w:rPr>
        <w:t>度</w:t>
      </w:r>
    </w:p>
    <w:p>
      <w:pPr>
        <w:spacing w:before="120" w:line="360" w:lineRule="auto"/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温室气体排放报告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52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/>
          <w:sz w:val="52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/>
          <w:sz w:val="52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/>
          <w:sz w:val="52"/>
        </w:rPr>
      </w:pPr>
    </w:p>
    <w:p>
      <w:pPr>
        <w:spacing w:line="360" w:lineRule="auto"/>
        <w:rPr>
          <w:rFonts w:hint="default" w:ascii="Times New Roman" w:hAnsi="Times New Roman" w:eastAsia="黑体" w:cs="Times New Roman"/>
          <w:b/>
          <w:sz w:val="52"/>
        </w:rPr>
      </w:pPr>
    </w:p>
    <w:p>
      <w:pPr>
        <w:spacing w:before="120" w:line="360" w:lineRule="auto"/>
        <w:ind w:left="1050" w:leftChars="500" w:firstLine="160" w:firstLineChars="50"/>
        <w:rPr>
          <w:rFonts w:hint="default" w:ascii="Times New Roman" w:hAnsi="Times New Roman" w:eastAsia="黑体" w:cs="Times New Roman"/>
          <w:kern w:val="24"/>
          <w:sz w:val="32"/>
          <w:szCs w:val="32"/>
        </w:rPr>
      </w:pPr>
    </w:p>
    <w:p>
      <w:pPr>
        <w:spacing w:before="120" w:line="360" w:lineRule="auto"/>
        <w:ind w:firstLine="1600" w:firstLineChars="500"/>
        <w:rPr>
          <w:rFonts w:hint="default" w:ascii="Times New Roman" w:hAnsi="Times New Roman" w:eastAsia="黑体" w:cs="Times New Roman"/>
          <w:kern w:val="24"/>
          <w:sz w:val="32"/>
          <w:szCs w:val="32"/>
          <w:lang w:val="en-US" w:eastAsia="zh-CN"/>
        </w:rPr>
      </w:pPr>
    </w:p>
    <w:p>
      <w:pPr>
        <w:spacing w:before="120" w:line="360" w:lineRule="auto"/>
        <w:ind w:firstLine="1600" w:firstLineChars="500"/>
        <w:rPr>
          <w:rFonts w:hint="default" w:ascii="Times New Roman" w:hAnsi="Times New Roman" w:eastAsia="黑体" w:cs="Times New Roman"/>
          <w:kern w:val="24"/>
          <w:sz w:val="32"/>
          <w:szCs w:val="32"/>
          <w:lang w:val="en-US" w:eastAsia="zh-CN"/>
        </w:rPr>
      </w:pPr>
    </w:p>
    <w:p>
      <w:pPr>
        <w:spacing w:before="120" w:line="360" w:lineRule="auto"/>
        <w:ind w:firstLine="1600" w:firstLineChars="500"/>
        <w:rPr>
          <w:rFonts w:hint="default" w:ascii="Times New Roman" w:hAnsi="Times New Roman" w:eastAsia="黑体" w:cs="Times New Roman"/>
          <w:kern w:val="24"/>
          <w:sz w:val="32"/>
          <w:szCs w:val="32"/>
          <w:lang w:val="en-US" w:eastAsia="zh-CN"/>
        </w:rPr>
      </w:pPr>
    </w:p>
    <w:p>
      <w:pPr>
        <w:spacing w:before="120" w:line="360" w:lineRule="auto"/>
        <w:ind w:firstLine="1280" w:firstLineChars="400"/>
        <w:rPr>
          <w:rFonts w:hint="default" w:ascii="Times New Roman" w:hAnsi="Times New Roman" w:eastAsia="黑体" w:cs="Times New Roman"/>
          <w:kern w:val="24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4"/>
          <w:sz w:val="32"/>
          <w:szCs w:val="32"/>
          <w:lang w:val="en-US" w:eastAsia="zh-CN"/>
        </w:rPr>
        <w:t>编制单位</w:t>
      </w:r>
      <w:r>
        <w:rPr>
          <w:rFonts w:hint="default" w:ascii="Times New Roman" w:hAnsi="Times New Roman" w:eastAsia="黑体" w:cs="Times New Roman"/>
          <w:kern w:val="24"/>
          <w:sz w:val="32"/>
          <w:szCs w:val="32"/>
        </w:rPr>
        <w:t>：</w:t>
      </w:r>
      <w:r>
        <w:rPr>
          <w:rFonts w:hint="eastAsia" w:ascii="Times New Roman" w:hAnsi="Times New Roman" w:eastAsia="黑体" w:cs="Times New Roman"/>
          <w:kern w:val="24"/>
          <w:sz w:val="32"/>
          <w:szCs w:val="32"/>
          <w:lang w:val="en-US" w:eastAsia="zh-CN"/>
        </w:rPr>
        <w:t>江苏新宏大集团有限公司</w:t>
      </w:r>
      <w:r>
        <w:rPr>
          <w:rFonts w:hint="default" w:ascii="Times New Roman" w:hAnsi="Times New Roman" w:eastAsia="黑体" w:cs="Times New Roman"/>
          <w:kern w:val="24"/>
          <w:sz w:val="32"/>
          <w:szCs w:val="32"/>
        </w:rPr>
        <w:t xml:space="preserve">  </w:t>
      </w:r>
    </w:p>
    <w:p>
      <w:pPr>
        <w:ind w:firstLine="1280" w:firstLineChars="400"/>
        <w:jc w:val="both"/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4"/>
          <w:sz w:val="32"/>
          <w:szCs w:val="32"/>
          <w:lang w:val="en-US" w:eastAsia="zh-CN"/>
        </w:rPr>
        <w:t>编制日期</w:t>
      </w:r>
      <w:r>
        <w:rPr>
          <w:rFonts w:hint="default" w:ascii="Times New Roman" w:hAnsi="Times New Roman" w:eastAsia="黑体" w:cs="Times New Roman"/>
          <w:b/>
          <w:bCs/>
          <w:kern w:val="24"/>
          <w:sz w:val="32"/>
          <w:szCs w:val="32"/>
        </w:rPr>
        <w:t>:</w:t>
      </w:r>
      <w:r>
        <w:rPr>
          <w:rFonts w:hint="default" w:ascii="Times New Roman" w:hAnsi="Times New Roman" w:eastAsia="黑体" w:cs="Times New Roman"/>
          <w:b w:val="0"/>
          <w:bCs w:val="0"/>
          <w:kern w:val="24"/>
          <w:sz w:val="32"/>
          <w:szCs w:val="32"/>
        </w:rPr>
        <w:t xml:space="preserve"> </w:t>
      </w:r>
      <w:r>
        <w:rPr>
          <w:rFonts w:hint="default" w:ascii="Times New Roman" w:hAnsi="Times New Roman" w:eastAsia="黑体" w:cs="Times New Roman"/>
          <w:kern w:val="24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kern w:val="24"/>
          <w:sz w:val="32"/>
          <w:szCs w:val="32"/>
        </w:rPr>
        <w:t>202</w:t>
      </w:r>
      <w:r>
        <w:rPr>
          <w:rFonts w:hint="default" w:ascii="Times New Roman" w:hAnsi="Times New Roman" w:eastAsia="黑体" w:cs="Times New Roman"/>
          <w:kern w:val="24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kern w:val="24"/>
          <w:sz w:val="32"/>
          <w:szCs w:val="32"/>
        </w:rPr>
        <w:t xml:space="preserve">年4月5日     </w:t>
      </w: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中国机械设备制造企业</w:t>
      </w: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温室气体排放报告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报告主体：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江苏新宏大集团有限公司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报告年度：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2022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年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编制日期：2023年4月5日 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根据国家发展和改革委员会发布的《中国机械设备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制造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企业温室气体排放核算方法与报告指南（试行）》，本报告主体核算了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2022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年度温室气体排放量，并填写了相关数据表格。现将有关情况报告如下：</w:t>
      </w:r>
    </w:p>
    <w:p>
      <w:pPr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企业基本情况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684"/>
        <w:gridCol w:w="1559"/>
        <w:gridCol w:w="683"/>
        <w:gridCol w:w="1800"/>
        <w:gridCol w:w="74"/>
        <w:gridCol w:w="797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报告主体名称</w:t>
            </w:r>
          </w:p>
        </w:tc>
        <w:tc>
          <w:tcPr>
            <w:tcW w:w="6959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江苏新宏大集团有限公司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180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报告年度</w:t>
            </w:r>
          </w:p>
        </w:tc>
        <w:tc>
          <w:tcPr>
            <w:tcW w:w="223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炼油、化工生产专用设备制造（C3521）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环境污染防治设备 （C3591）</w:t>
            </w:r>
          </w:p>
        </w:tc>
        <w:tc>
          <w:tcPr>
            <w:tcW w:w="180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223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913212811426351165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陈爱民</w:t>
            </w:r>
          </w:p>
        </w:tc>
        <w:tc>
          <w:tcPr>
            <w:tcW w:w="180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3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详细地址</w:t>
            </w:r>
          </w:p>
        </w:tc>
        <w:tc>
          <w:tcPr>
            <w:tcW w:w="695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textAlignment w:val="auto"/>
              <w:rPr>
                <w:rFonts w:hint="default" w:ascii="Times New Roman" w:hAnsi="Times New Roman" w:eastAsia="仿宋_GB2312" w:cstheme="minorBidi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江苏省泰州市兴化市戴南镇科技园区创业大道南侧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填报负责人</w:t>
            </w:r>
          </w:p>
        </w:tc>
        <w:tc>
          <w:tcPr>
            <w:tcW w:w="68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张正国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部门/职务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安环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办</w:t>
            </w:r>
          </w:p>
        </w:tc>
        <w:tc>
          <w:tcPr>
            <w:tcW w:w="79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电子邮 箱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"/>
              </w:rPr>
              <w:t>nhd@chinanhd.com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传真</w:t>
            </w:r>
          </w:p>
        </w:tc>
        <w:tc>
          <w:tcPr>
            <w:tcW w:w="15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手机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"/>
              </w:rPr>
              <w:t>13812383696</w:t>
            </w:r>
          </w:p>
        </w:tc>
        <w:tc>
          <w:tcPr>
            <w:tcW w:w="7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报告主体边界说明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以企业法人为边界，进行核算和报告生产系统产生的温室气体排放</w:t>
            </w: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温室气体排放</w:t>
      </w:r>
    </w:p>
    <w:p>
      <w:pPr>
        <w:numPr>
          <w:ilvl w:val="0"/>
          <w:numId w:val="0"/>
        </w:numPr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报告主体在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2022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年度温室气体排放总量为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>4347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吨CO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，其中化石燃料燃烧排放量为276.72吨CO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，工业生产过程排放量为171.09吨CO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，净购入使用的电力、热力产生的排放量为3898.99吨CO</w:t>
      </w:r>
      <w:r>
        <w:rPr>
          <w:rFonts w:hint="default" w:ascii="Times New Roman" w:hAnsi="Times New Roman" w:cs="Times New Roman"/>
          <w:sz w:val="24"/>
          <w:szCs w:val="24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活动水平数据及来源说明</w:t>
      </w:r>
    </w:p>
    <w:p>
      <w:pPr>
        <w:numPr>
          <w:ilvl w:val="0"/>
          <w:numId w:val="0"/>
        </w:numPr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柴油以公司2022年度出库记录数据作为数据来源、丙烷及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天然气以公司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2022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年度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发票数据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作为数据来源、外购电力以公司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2022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年度发票数据作为数据来源。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排放因子数据及来源说明</w:t>
      </w:r>
    </w:p>
    <w:p>
      <w:pPr>
        <w:numPr>
          <w:ilvl w:val="0"/>
          <w:numId w:val="0"/>
        </w:numPr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排放因子数据采用</w:t>
      </w:r>
      <w:r>
        <w:rPr>
          <w:rFonts w:hint="default" w:ascii="Times New Roman" w:hAnsi="Times New Roman" w:cs="Times New Roman"/>
          <w:sz w:val="24"/>
          <w:szCs w:val="24"/>
        </w:rPr>
        <w:t>《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机械设备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制造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企业温室气体排放核算方法与报告指南（试行）</w:t>
      </w:r>
      <w:r>
        <w:rPr>
          <w:rFonts w:hint="default" w:ascii="Times New Roman" w:hAnsi="Times New Roman" w:cs="Times New Roman"/>
          <w:sz w:val="24"/>
          <w:szCs w:val="24"/>
        </w:rPr>
        <w:t>》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的推荐值。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附表1 报告主体温室气体排放总量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9"/>
        <w:gridCol w:w="2376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59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源类别</w:t>
            </w:r>
          </w:p>
        </w:tc>
        <w:tc>
          <w:tcPr>
            <w:tcW w:w="1393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温室气体本身质量（t）</w:t>
            </w:r>
          </w:p>
        </w:tc>
        <w:tc>
          <w:tcPr>
            <w:tcW w:w="1446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排放量（tCO2e）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59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化石燃料燃烧CO</w:t>
            </w:r>
            <w:r>
              <w:rPr>
                <w:rFonts w:hint="default" w:ascii="Times New Roman" w:hAnsi="Times New Roman" w:cs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排放</w:t>
            </w:r>
          </w:p>
        </w:tc>
        <w:tc>
          <w:tcPr>
            <w:tcW w:w="237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leftChars="0" w:right="0" w:rightChars="0"/>
              <w:contextualSpacing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kern w:val="0"/>
                <w:szCs w:val="21"/>
                <w:lang w:val="en-US" w:eastAsia="zh-CN"/>
              </w:rPr>
              <w:t xml:space="preserve">276.72 </w:t>
            </w:r>
          </w:p>
        </w:tc>
        <w:tc>
          <w:tcPr>
            <w:tcW w:w="246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leftChars="0" w:right="0" w:rightChars="0"/>
              <w:contextualSpacing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/>
                <w:kern w:val="0"/>
                <w:szCs w:val="21"/>
                <w:lang w:val="en-US" w:eastAsia="zh-CN"/>
              </w:rPr>
              <w:t xml:space="preserve">276.72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59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工业生产过程CO</w:t>
            </w:r>
            <w:r>
              <w:rPr>
                <w:rFonts w:hint="default" w:ascii="Times New Roman" w:hAnsi="Times New Roman" w:cs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排放</w:t>
            </w:r>
          </w:p>
        </w:tc>
        <w:tc>
          <w:tcPr>
            <w:tcW w:w="237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leftChars="0" w:right="0" w:rightChars="0"/>
              <w:contextualSpacing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171.09</w:t>
            </w:r>
          </w:p>
        </w:tc>
        <w:tc>
          <w:tcPr>
            <w:tcW w:w="246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leftChars="0" w:right="0" w:rightChars="0"/>
              <w:contextualSpacing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171.09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59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工业生产过程HFCs排放</w:t>
            </w:r>
          </w:p>
        </w:tc>
        <w:tc>
          <w:tcPr>
            <w:tcW w:w="237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leftChars="0" w:right="0" w:rightChars="0"/>
              <w:contextualSpacing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kern w:val="0"/>
                <w:szCs w:val="21"/>
                <w:lang w:val="en-US" w:eastAsia="zh-CN"/>
              </w:rPr>
              <w:t xml:space="preserve">0.00 </w:t>
            </w:r>
          </w:p>
        </w:tc>
        <w:tc>
          <w:tcPr>
            <w:tcW w:w="246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leftChars="0" w:right="0" w:rightChars="0"/>
              <w:contextualSpacing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/>
                <w:kern w:val="0"/>
                <w:szCs w:val="21"/>
                <w:lang w:val="en-US" w:eastAsia="zh-CN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59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工业生产过程PFCs排放</w:t>
            </w:r>
          </w:p>
        </w:tc>
        <w:tc>
          <w:tcPr>
            <w:tcW w:w="237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leftChars="0" w:right="0" w:rightChars="0"/>
              <w:contextualSpacing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kern w:val="0"/>
                <w:szCs w:val="21"/>
                <w:lang w:val="en-US" w:eastAsia="zh-CN"/>
              </w:rPr>
              <w:t xml:space="preserve">0.00 </w:t>
            </w:r>
          </w:p>
        </w:tc>
        <w:tc>
          <w:tcPr>
            <w:tcW w:w="246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leftChars="0" w:right="0" w:rightChars="0"/>
              <w:contextualSpacing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/>
                <w:kern w:val="0"/>
                <w:szCs w:val="21"/>
                <w:lang w:val="en-US" w:eastAsia="zh-CN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59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工业生产过程SF6排放</w:t>
            </w:r>
          </w:p>
        </w:tc>
        <w:tc>
          <w:tcPr>
            <w:tcW w:w="237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leftChars="0" w:right="0" w:rightChars="0"/>
              <w:contextualSpacing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kern w:val="0"/>
                <w:szCs w:val="21"/>
                <w:lang w:val="en-US" w:eastAsia="zh-CN"/>
              </w:rPr>
              <w:t xml:space="preserve">0.00 </w:t>
            </w:r>
          </w:p>
        </w:tc>
        <w:tc>
          <w:tcPr>
            <w:tcW w:w="246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leftChars="0" w:right="0" w:rightChars="0"/>
              <w:contextualSpacing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/>
                <w:kern w:val="0"/>
                <w:szCs w:val="21"/>
                <w:lang w:val="en-US" w:eastAsia="zh-CN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59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净购入的电力和热力产生的CO</w:t>
            </w:r>
            <w:r>
              <w:rPr>
                <w:rFonts w:hint="default" w:ascii="Times New Roman" w:hAnsi="Times New Roman" w:cs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排放</w:t>
            </w:r>
          </w:p>
        </w:tc>
        <w:tc>
          <w:tcPr>
            <w:tcW w:w="2376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leftChars="0" w:right="0" w:rightChars="0"/>
              <w:contextualSpacing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kern w:val="0"/>
                <w:szCs w:val="21"/>
                <w:lang w:val="en-US" w:eastAsia="zh-CN"/>
              </w:rPr>
              <w:t xml:space="preserve">3898.99 </w:t>
            </w:r>
          </w:p>
        </w:tc>
        <w:tc>
          <w:tcPr>
            <w:tcW w:w="246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leftChars="0" w:right="0" w:rightChars="0"/>
              <w:contextualSpacing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/>
                <w:kern w:val="0"/>
                <w:szCs w:val="21"/>
                <w:lang w:val="en-US" w:eastAsia="zh-CN"/>
              </w:rPr>
              <w:t xml:space="preserve">3898.99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53" w:type="pct"/>
            <w:gridSpan w:val="2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企业温室气体排放总量（tCO</w:t>
            </w:r>
            <w:r>
              <w:rPr>
                <w:rFonts w:hint="default" w:ascii="Times New Roman" w:hAnsi="Times New Roman" w:cs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e）</w:t>
            </w:r>
          </w:p>
        </w:tc>
        <w:tc>
          <w:tcPr>
            <w:tcW w:w="1446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lang w:val="en-US" w:eastAsia="zh-CN"/>
              </w:rPr>
              <w:t>4347</w:t>
            </w: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附表2 报告主体排放活动水平数据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1995"/>
        <w:gridCol w:w="1872"/>
        <w:gridCol w:w="2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1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1170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燃料品种</w:t>
            </w:r>
          </w:p>
        </w:tc>
        <w:tc>
          <w:tcPr>
            <w:tcW w:w="1098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消耗量（t，万m³）</w:t>
            </w:r>
          </w:p>
        </w:tc>
        <w:tc>
          <w:tcPr>
            <w:tcW w:w="1549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低位发热量 （GJ/t，万m³）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81" w:type="pct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化石燃料燃烧</w:t>
            </w:r>
          </w:p>
        </w:tc>
        <w:tc>
          <w:tcPr>
            <w:tcW w:w="117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天然气</w:t>
            </w:r>
          </w:p>
        </w:tc>
        <w:tc>
          <w:tcPr>
            <w:tcW w:w="109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3.5147</w:t>
            </w:r>
          </w:p>
        </w:tc>
        <w:tc>
          <w:tcPr>
            <w:tcW w:w="1549" w:type="pc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389.31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81" w:type="pct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117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柴油</w:t>
            </w:r>
          </w:p>
        </w:tc>
        <w:tc>
          <w:tcPr>
            <w:tcW w:w="109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39.96</w:t>
            </w:r>
          </w:p>
        </w:tc>
        <w:tc>
          <w:tcPr>
            <w:tcW w:w="1549" w:type="pc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42.652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81" w:type="pct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117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丙烷</w:t>
            </w:r>
          </w:p>
        </w:tc>
        <w:tc>
          <w:tcPr>
            <w:tcW w:w="109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2.44</w:t>
            </w:r>
          </w:p>
        </w:tc>
        <w:tc>
          <w:tcPr>
            <w:tcW w:w="1549" w:type="pc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1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1170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参数名称</w:t>
            </w:r>
          </w:p>
        </w:tc>
        <w:tc>
          <w:tcPr>
            <w:tcW w:w="1098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数值</w:t>
            </w:r>
          </w:p>
        </w:tc>
        <w:tc>
          <w:tcPr>
            <w:tcW w:w="1549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1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工业生产过程</w:t>
            </w:r>
          </w:p>
        </w:tc>
        <w:tc>
          <w:tcPr>
            <w:tcW w:w="1170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二氧化碳气体保护焊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保护气体使用</w:t>
            </w:r>
          </w:p>
        </w:tc>
        <w:tc>
          <w:tcPr>
            <w:tcW w:w="1098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171.09</w:t>
            </w:r>
          </w:p>
        </w:tc>
        <w:tc>
          <w:tcPr>
            <w:tcW w:w="1549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1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1170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参数名称</w:t>
            </w:r>
          </w:p>
        </w:tc>
        <w:tc>
          <w:tcPr>
            <w:tcW w:w="1098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数值</w:t>
            </w:r>
          </w:p>
        </w:tc>
        <w:tc>
          <w:tcPr>
            <w:tcW w:w="1549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1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净购入的电力、热力</w:t>
            </w:r>
          </w:p>
        </w:tc>
        <w:tc>
          <w:tcPr>
            <w:tcW w:w="1170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电力净购入量</w:t>
            </w:r>
          </w:p>
        </w:tc>
        <w:tc>
          <w:tcPr>
            <w:tcW w:w="1098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5709.456</w:t>
            </w:r>
          </w:p>
        </w:tc>
        <w:tc>
          <w:tcPr>
            <w:tcW w:w="1549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MWh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1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1170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热力净购入量</w:t>
            </w:r>
          </w:p>
        </w:tc>
        <w:tc>
          <w:tcPr>
            <w:tcW w:w="1098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--</w:t>
            </w:r>
          </w:p>
        </w:tc>
        <w:tc>
          <w:tcPr>
            <w:tcW w:w="1549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--</w:t>
            </w: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附表3 报告主体排放因子和计算系数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1728"/>
        <w:gridCol w:w="1984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1013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燃料品种</w:t>
            </w:r>
          </w:p>
        </w:tc>
        <w:tc>
          <w:tcPr>
            <w:tcW w:w="1164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单位热值含碳量（tC/GJ，万m³）</w:t>
            </w:r>
          </w:p>
        </w:tc>
        <w:tc>
          <w:tcPr>
            <w:tcW w:w="1511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碳氧化率 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0" w:type="pct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化石燃料燃烧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天然气</w:t>
            </w:r>
          </w:p>
        </w:tc>
        <w:tc>
          <w:tcPr>
            <w:tcW w:w="116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0.0153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pct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1013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柴油</w:t>
            </w:r>
          </w:p>
        </w:tc>
        <w:tc>
          <w:tcPr>
            <w:tcW w:w="1164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0.0202</w:t>
            </w:r>
          </w:p>
        </w:tc>
        <w:tc>
          <w:tcPr>
            <w:tcW w:w="1511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pct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1013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丙烷</w:t>
            </w:r>
          </w:p>
        </w:tc>
        <w:tc>
          <w:tcPr>
            <w:tcW w:w="1164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/</w:t>
            </w:r>
          </w:p>
        </w:tc>
        <w:tc>
          <w:tcPr>
            <w:tcW w:w="1511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1013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参数名称</w:t>
            </w:r>
          </w:p>
        </w:tc>
        <w:tc>
          <w:tcPr>
            <w:tcW w:w="1164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数值</w:t>
            </w:r>
          </w:p>
        </w:tc>
        <w:tc>
          <w:tcPr>
            <w:tcW w:w="1511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pct"/>
            <w:vMerge w:val="restar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净购入的电力、热力</w:t>
            </w:r>
          </w:p>
        </w:tc>
        <w:tc>
          <w:tcPr>
            <w:tcW w:w="1013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电力</w:t>
            </w:r>
          </w:p>
        </w:tc>
        <w:tc>
          <w:tcPr>
            <w:tcW w:w="1164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6829</w:t>
            </w:r>
          </w:p>
        </w:tc>
        <w:tc>
          <w:tcPr>
            <w:tcW w:w="1511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tCO</w:t>
            </w:r>
            <w:r>
              <w:rPr>
                <w:rFonts w:hint="default" w:ascii="Times New Roman" w:hAnsi="Times New Roman" w:cs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/MWh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pct"/>
            <w:vMerge w:val="continue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  <w:tc>
          <w:tcPr>
            <w:tcW w:w="1013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热力</w:t>
            </w:r>
          </w:p>
        </w:tc>
        <w:tc>
          <w:tcPr>
            <w:tcW w:w="1164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--</w:t>
            </w:r>
          </w:p>
        </w:tc>
        <w:tc>
          <w:tcPr>
            <w:tcW w:w="1511" w:type="pct"/>
            <w:shd w:val="clear" w:color="auto" w:fill="FFFFFF" w:themeFill="background1"/>
            <w:noWrap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--</w:t>
            </w: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BBF18"/>
    <w:multiLevelType w:val="singleLevel"/>
    <w:tmpl w:val="59FBBF1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NjI5YzIxZDYwZWY4ZjY4ZjFiNzE1MjAwNWRjY2MifQ=="/>
  </w:docVars>
  <w:rsids>
    <w:rsidRoot w:val="1E020668"/>
    <w:rsid w:val="00E37944"/>
    <w:rsid w:val="06D57A7A"/>
    <w:rsid w:val="0ABE7998"/>
    <w:rsid w:val="0B993593"/>
    <w:rsid w:val="0D690509"/>
    <w:rsid w:val="0DEB0D77"/>
    <w:rsid w:val="0F1612EE"/>
    <w:rsid w:val="0F2F1B06"/>
    <w:rsid w:val="112662F8"/>
    <w:rsid w:val="14B601FA"/>
    <w:rsid w:val="16560E52"/>
    <w:rsid w:val="18040780"/>
    <w:rsid w:val="1E020668"/>
    <w:rsid w:val="1FCF63E8"/>
    <w:rsid w:val="1FFF467E"/>
    <w:rsid w:val="20275984"/>
    <w:rsid w:val="2554461D"/>
    <w:rsid w:val="274D74AA"/>
    <w:rsid w:val="2B211537"/>
    <w:rsid w:val="2B874C17"/>
    <w:rsid w:val="2E644C2A"/>
    <w:rsid w:val="2F2402E0"/>
    <w:rsid w:val="333C566F"/>
    <w:rsid w:val="36511C99"/>
    <w:rsid w:val="36DB68DC"/>
    <w:rsid w:val="38884AC3"/>
    <w:rsid w:val="39112556"/>
    <w:rsid w:val="3CA46AE4"/>
    <w:rsid w:val="3DBE5050"/>
    <w:rsid w:val="3F817990"/>
    <w:rsid w:val="4F924803"/>
    <w:rsid w:val="4FED6451"/>
    <w:rsid w:val="50977931"/>
    <w:rsid w:val="53CB2D15"/>
    <w:rsid w:val="56F75915"/>
    <w:rsid w:val="57D206C0"/>
    <w:rsid w:val="5ADA0E11"/>
    <w:rsid w:val="5D5A5381"/>
    <w:rsid w:val="62506670"/>
    <w:rsid w:val="6750712E"/>
    <w:rsid w:val="6C693B7F"/>
    <w:rsid w:val="6C9F7054"/>
    <w:rsid w:val="71D315E4"/>
    <w:rsid w:val="78260EE9"/>
    <w:rsid w:val="7D0B7F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表格内容"/>
    <w:basedOn w:val="1"/>
    <w:qFormat/>
    <w:uiPriority w:val="0"/>
    <w:pPr>
      <w:adjustRightInd w:val="0"/>
      <w:jc w:val="center"/>
      <w:textAlignment w:val="baseline"/>
    </w:pPr>
    <w:rPr>
      <w:rFonts w:ascii="Times New Roman" w:hAnsi="Times New Roman" w:eastAsia="楷体"/>
      <w:snapToGrid w:val="0"/>
      <w:sz w:val="24"/>
      <w:szCs w:val="18"/>
    </w:rPr>
  </w:style>
  <w:style w:type="table" w:customStyle="1" w:styleId="7">
    <w:name w:val="Table Normal"/>
    <w:semiHidden/>
    <w:qFormat/>
    <w:uiPriority w:val="0"/>
    <w:rPr>
      <w:rFonts w:ascii="Times New Roman" w:hAnsi="Times New Roman" w:eastAsia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812</Words>
  <Characters>987</Characters>
  <Lines>0</Lines>
  <Paragraphs>0</Paragraphs>
  <TotalTime>0</TotalTime>
  <ScaleCrop>false</ScaleCrop>
  <LinksUpToDate>false</LinksUpToDate>
  <CharactersWithSpaces>1013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2017-11-03T00:49:00Z</dcterms:created>
  <dc:creator>朱蕾</dc:creator>
  <cp:lastModifiedBy>我</cp:lastModifiedBy>
  <dcterms:modified xsi:type="dcterms:W3CDTF">2023-08-16T05:23:57Z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4E4D58D09B304583BDABF151D51ED706</vt:lpwstr>
  </property>
</Properties>
</file>